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E" w:rsidRPr="00DD629D" w:rsidRDefault="00DD629D" w:rsidP="00DD629D">
      <w:pPr>
        <w:jc w:val="center"/>
      </w:pPr>
      <w:r w:rsidRPr="00DD629D">
        <w:t>Ispitna pitanja ZN – II</w:t>
      </w:r>
    </w:p>
    <w:p w:rsidR="00C4381A" w:rsidRPr="00DD629D" w:rsidRDefault="00C4381A"/>
    <w:p w:rsidR="00BE7BB8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 xml:space="preserve">Samostalna sestrinska funkcija </w:t>
      </w:r>
    </w:p>
    <w:p w:rsidR="00BE7BB8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Međuzavisna sestrinska funkcija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Sestrinske kompetencije</w:t>
      </w:r>
      <w:r w:rsidRPr="00DD629D">
        <w:t xml:space="preserve"> 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Medicinska sestra sa ograničenim kompetencijama</w:t>
      </w:r>
      <w:r w:rsidRPr="00DD629D">
        <w:t xml:space="preserve"> 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Kompetentna medicinska sestra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 xml:space="preserve">Visoko kompetentna medicinska sestra 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 xml:space="preserve">Medicinska sestra – ekspert 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 xml:space="preserve">Profesionalni </w:t>
      </w:r>
      <w:r w:rsidR="00660852">
        <w:t>stres</w:t>
      </w:r>
      <w:r w:rsidRPr="00DD629D">
        <w:t xml:space="preserve"> i zaštita od profesionalnog stresa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Stres kod dece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Profesionalno sagorevanje i prevencija od sagorevanja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 xml:space="preserve">Zaštita </w:t>
      </w:r>
      <w:r w:rsidR="00660852">
        <w:t xml:space="preserve">medicinskih sestara/tehničara </w:t>
      </w:r>
      <w:r w:rsidRPr="00DD629D">
        <w:t>od fizičkog napora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Prevencija oštećenja kičmenog stuba u profesionalnom radu medicinskih sestara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  <w:lang w:val="sr-Latn-CS"/>
        </w:rPr>
        <w:t>Zaštita pri radu sa hemijskim sredstvima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  <w:lang w:val="sr-Latn-CS"/>
        </w:rPr>
        <w:t>Zaštita od jonizujućeg i nejonizujućeg zračenja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  <w:lang w:val="sr-Latn-CS"/>
        </w:rPr>
        <w:t xml:space="preserve">Zaštita </w:t>
      </w:r>
      <w:r w:rsidR="00660852">
        <w:rPr>
          <w:bCs/>
          <w:lang w:val="sr-Latn-CS"/>
        </w:rPr>
        <w:t xml:space="preserve">medicinskih sestara </w:t>
      </w:r>
      <w:r w:rsidRPr="00DD629D">
        <w:rPr>
          <w:bCs/>
          <w:lang w:val="sr-Latn-CS"/>
        </w:rPr>
        <w:t>od infekcije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  <w:lang w:val="sr-Latn-CS"/>
        </w:rPr>
        <w:t xml:space="preserve">Zaštita </w:t>
      </w:r>
      <w:r w:rsidR="00660852">
        <w:rPr>
          <w:bCs/>
          <w:lang w:val="sr-Latn-CS"/>
        </w:rPr>
        <w:t xml:space="preserve">medicinskih sestara </w:t>
      </w:r>
      <w:r w:rsidRPr="00DD629D">
        <w:rPr>
          <w:bCs/>
          <w:lang w:val="sr-Latn-CS"/>
        </w:rPr>
        <w:t>pri radu sa citostaticima</w:t>
      </w:r>
    </w:p>
    <w:p w:rsidR="00C4381A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Standardi u sestrinskoj praksi</w:t>
      </w:r>
    </w:p>
    <w:p w:rsidR="000462CC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hr-HR"/>
        </w:rPr>
        <w:t>Standardi zdravstvene nege</w:t>
      </w:r>
    </w:p>
    <w:p w:rsidR="000462CC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hr-HR"/>
        </w:rPr>
        <w:t>Standardi profesionalnog delovanja</w:t>
      </w:r>
    </w:p>
    <w:p w:rsidR="000462CC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hr-HR"/>
        </w:rPr>
        <w:t>Standardi strukture, procesa i ishoda</w:t>
      </w:r>
    </w:p>
    <w:p w:rsidR="000462CC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hr-HR"/>
        </w:rPr>
        <w:t>Normativi u sestrinskoj praksi</w:t>
      </w:r>
    </w:p>
    <w:p w:rsidR="000462CC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Obrazovanje medicinskih sestara i tehničara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Formalni i neformalni vođa u sestrinstvu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Rukovođenje u sestrinstvu – glavna medicinska sestra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Organizacija sestrinske službe</w:t>
      </w:r>
    </w:p>
    <w:p w:rsidR="00B555ED" w:rsidRPr="00DD629D" w:rsidRDefault="00DD629D" w:rsidP="00B555ED">
      <w:pPr>
        <w:pStyle w:val="ListParagraph"/>
        <w:numPr>
          <w:ilvl w:val="0"/>
          <w:numId w:val="1"/>
        </w:numPr>
      </w:pPr>
      <w:r w:rsidRPr="00DD629D">
        <w:rPr>
          <w:bCs/>
        </w:rPr>
        <w:t>Organizacija radnog dana službe zdravstvene nege</w:t>
      </w:r>
      <w:r w:rsidRPr="00DD629D">
        <w:rPr>
          <w:bCs/>
          <w:lang w:val="sr-Latn-CS"/>
        </w:rPr>
        <w:t xml:space="preserve"> 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Organizacija radnog dana u domovima zdravlja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 xml:space="preserve">Organizacija radnog dana </w:t>
      </w:r>
      <w:r w:rsidR="00660852">
        <w:rPr>
          <w:bCs/>
        </w:rPr>
        <w:t xml:space="preserve">u </w:t>
      </w:r>
      <w:r w:rsidRPr="00DD629D">
        <w:rPr>
          <w:bCs/>
        </w:rPr>
        <w:t>kliničko – bolničkim ustanovama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t>Kvalitet života – definisanje pojma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Cyrl-CS"/>
        </w:rPr>
        <w:t>Kvalitet života u vezi sa zdravljem (</w:t>
      </w:r>
      <w:r w:rsidR="00660852" w:rsidRPr="00DD629D">
        <w:rPr>
          <w:lang w:val="sr-Latn-CS"/>
        </w:rPr>
        <w:t>HRQOL</w:t>
      </w:r>
      <w:r w:rsidRPr="00DD629D">
        <w:rPr>
          <w:lang w:val="sr-Cyrl-CS"/>
        </w:rPr>
        <w:t>)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l-SI"/>
        </w:rPr>
        <w:t>Procena i merenj</w:t>
      </w:r>
      <w:r w:rsidR="00660852">
        <w:rPr>
          <w:lang w:val="sl-SI"/>
        </w:rPr>
        <w:t>e</w:t>
      </w:r>
      <w:r w:rsidRPr="00DD629D">
        <w:rPr>
          <w:lang w:val="sl-SI"/>
        </w:rPr>
        <w:t xml:space="preserve"> </w:t>
      </w:r>
      <w:r w:rsidRPr="00DD629D">
        <w:t xml:space="preserve">kvaliteta </w:t>
      </w:r>
      <w:r w:rsidRPr="00DD629D">
        <w:rPr>
          <w:lang w:val="sl-SI"/>
        </w:rPr>
        <w:t>ž</w:t>
      </w:r>
      <w:r w:rsidRPr="00DD629D">
        <w:t>ivota</w:t>
      </w:r>
    </w:p>
    <w:p w:rsidR="00B555E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Progresivna nega – prednosti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bCs/>
        </w:rPr>
        <w:lastRenderedPageBreak/>
        <w:t>Progresivna nega – intenzivna nega</w:t>
      </w:r>
    </w:p>
    <w:p w:rsidR="007C38F7" w:rsidRPr="00DD629D" w:rsidRDefault="00DD629D" w:rsidP="007C38F7">
      <w:pPr>
        <w:pStyle w:val="ListParagraph"/>
        <w:numPr>
          <w:ilvl w:val="0"/>
          <w:numId w:val="1"/>
        </w:numPr>
      </w:pPr>
      <w:r w:rsidRPr="00DD629D">
        <w:rPr>
          <w:bCs/>
        </w:rPr>
        <w:t>Progresivna nega – polui</w:t>
      </w:r>
      <w:r w:rsidR="00725480">
        <w:rPr>
          <w:bCs/>
        </w:rPr>
        <w:t>n</w:t>
      </w:r>
      <w:r w:rsidRPr="00DD629D">
        <w:rPr>
          <w:bCs/>
        </w:rPr>
        <w:t>tenzivna nega</w:t>
      </w:r>
    </w:p>
    <w:p w:rsidR="007C38F7" w:rsidRPr="00DD629D" w:rsidRDefault="00DD629D" w:rsidP="007C38F7">
      <w:pPr>
        <w:pStyle w:val="ListParagraph"/>
        <w:numPr>
          <w:ilvl w:val="0"/>
          <w:numId w:val="1"/>
        </w:numPr>
      </w:pPr>
      <w:r w:rsidRPr="00DD629D">
        <w:rPr>
          <w:bCs/>
        </w:rPr>
        <w:t xml:space="preserve">Progresivna nega – minimalna nega </w:t>
      </w:r>
    </w:p>
    <w:p w:rsidR="007C38F7" w:rsidRPr="00DD629D" w:rsidRDefault="00DD629D" w:rsidP="007C38F7">
      <w:pPr>
        <w:pStyle w:val="ListParagraph"/>
        <w:numPr>
          <w:ilvl w:val="0"/>
          <w:numId w:val="1"/>
        </w:numPr>
      </w:pPr>
      <w:r w:rsidRPr="00DD629D">
        <w:rPr>
          <w:bCs/>
        </w:rPr>
        <w:t>Progresivna nega – kućna nega</w:t>
      </w:r>
    </w:p>
    <w:p w:rsidR="007C38F7" w:rsidRPr="00DD629D" w:rsidRDefault="00DD629D" w:rsidP="007C38F7">
      <w:pPr>
        <w:pStyle w:val="ListParagraph"/>
        <w:numPr>
          <w:ilvl w:val="0"/>
          <w:numId w:val="1"/>
        </w:numPr>
      </w:pPr>
      <w:r w:rsidRPr="00DD629D">
        <w:rPr>
          <w:bCs/>
        </w:rPr>
        <w:t>Progresivna nega – terminalna nega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Principi palijativne nege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Palijativna nega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t>Program palijativne nege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Teorija o umiranju i smrti</w:t>
      </w:r>
    </w:p>
    <w:p w:rsidR="007C38F7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Reakcija medicinske sestre na probleme umirućih pacijenata</w:t>
      </w:r>
    </w:p>
    <w:p w:rsidR="00DD629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Prema toku istraživanja, koje vrste istraživanja postoje?</w:t>
      </w:r>
    </w:p>
    <w:p w:rsidR="00DD629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Istraživačke faze</w:t>
      </w:r>
    </w:p>
    <w:p w:rsidR="00DD629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Formulisanje problema istraživanja</w:t>
      </w:r>
    </w:p>
    <w:p w:rsidR="00DD629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Cilj i zadaci istraživanja</w:t>
      </w:r>
    </w:p>
    <w:p w:rsidR="00DD629D" w:rsidRPr="00DD629D" w:rsidRDefault="00DD629D" w:rsidP="00C4381A">
      <w:pPr>
        <w:pStyle w:val="ListParagraph"/>
        <w:numPr>
          <w:ilvl w:val="0"/>
          <w:numId w:val="1"/>
        </w:numPr>
      </w:pPr>
      <w:r w:rsidRPr="00DD629D">
        <w:rPr>
          <w:lang w:val="sr-Latn-CS"/>
        </w:rPr>
        <w:t>Istraživački zaključak i predlog mera</w:t>
      </w:r>
    </w:p>
    <w:sectPr w:rsidR="00DD629D" w:rsidRPr="00DD629D" w:rsidSect="00DD629D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0BB"/>
    <w:multiLevelType w:val="hybridMultilevel"/>
    <w:tmpl w:val="E1787140"/>
    <w:lvl w:ilvl="0" w:tplc="429E2CD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BFA4AD0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DAD48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32A2AB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054C49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11EF7E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94C0C1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1E27E3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2920A7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1FA41256"/>
    <w:multiLevelType w:val="hybridMultilevel"/>
    <w:tmpl w:val="5AD88498"/>
    <w:lvl w:ilvl="0" w:tplc="5B58BC1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6C0766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46CDB0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C026E7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6299B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B8652F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60ED29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F4B5F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5250E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26107FC8"/>
    <w:multiLevelType w:val="hybridMultilevel"/>
    <w:tmpl w:val="C94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381A"/>
    <w:rsid w:val="0001075A"/>
    <w:rsid w:val="00025FE1"/>
    <w:rsid w:val="000462CC"/>
    <w:rsid w:val="00067F2A"/>
    <w:rsid w:val="0009351B"/>
    <w:rsid w:val="000A719E"/>
    <w:rsid w:val="000C06B9"/>
    <w:rsid w:val="000C61E1"/>
    <w:rsid w:val="000D3286"/>
    <w:rsid w:val="00127511"/>
    <w:rsid w:val="00143D79"/>
    <w:rsid w:val="00145CD0"/>
    <w:rsid w:val="00146EBA"/>
    <w:rsid w:val="00177B20"/>
    <w:rsid w:val="001E3140"/>
    <w:rsid w:val="0020368A"/>
    <w:rsid w:val="00250CEE"/>
    <w:rsid w:val="00276672"/>
    <w:rsid w:val="00282D28"/>
    <w:rsid w:val="002A6153"/>
    <w:rsid w:val="002E41DE"/>
    <w:rsid w:val="002E5687"/>
    <w:rsid w:val="002E58FE"/>
    <w:rsid w:val="002F5380"/>
    <w:rsid w:val="00343CB3"/>
    <w:rsid w:val="00411826"/>
    <w:rsid w:val="00417D9E"/>
    <w:rsid w:val="004342FF"/>
    <w:rsid w:val="004403A9"/>
    <w:rsid w:val="004617AF"/>
    <w:rsid w:val="004A4019"/>
    <w:rsid w:val="004C636E"/>
    <w:rsid w:val="004E33A7"/>
    <w:rsid w:val="004E4BCE"/>
    <w:rsid w:val="004F4BE8"/>
    <w:rsid w:val="00555470"/>
    <w:rsid w:val="00556110"/>
    <w:rsid w:val="005B198C"/>
    <w:rsid w:val="005D26FC"/>
    <w:rsid w:val="005F3BDF"/>
    <w:rsid w:val="00604FC1"/>
    <w:rsid w:val="0064520C"/>
    <w:rsid w:val="0064528C"/>
    <w:rsid w:val="006532A9"/>
    <w:rsid w:val="00660852"/>
    <w:rsid w:val="00663DB1"/>
    <w:rsid w:val="00674CE0"/>
    <w:rsid w:val="00691573"/>
    <w:rsid w:val="00693F75"/>
    <w:rsid w:val="006953C2"/>
    <w:rsid w:val="006C5F8F"/>
    <w:rsid w:val="006D1C12"/>
    <w:rsid w:val="006D391E"/>
    <w:rsid w:val="00725480"/>
    <w:rsid w:val="00734AD0"/>
    <w:rsid w:val="007449A5"/>
    <w:rsid w:val="00747F06"/>
    <w:rsid w:val="007A161B"/>
    <w:rsid w:val="007A2838"/>
    <w:rsid w:val="007A67FA"/>
    <w:rsid w:val="007C38F7"/>
    <w:rsid w:val="007E4E8D"/>
    <w:rsid w:val="007F7EE4"/>
    <w:rsid w:val="00827C7D"/>
    <w:rsid w:val="008779EF"/>
    <w:rsid w:val="00877D3C"/>
    <w:rsid w:val="008A5619"/>
    <w:rsid w:val="008C08BE"/>
    <w:rsid w:val="008E35B4"/>
    <w:rsid w:val="00905249"/>
    <w:rsid w:val="009341C0"/>
    <w:rsid w:val="0094333F"/>
    <w:rsid w:val="009B6514"/>
    <w:rsid w:val="00A2201E"/>
    <w:rsid w:val="00A642DE"/>
    <w:rsid w:val="00A86FBA"/>
    <w:rsid w:val="00A9550C"/>
    <w:rsid w:val="00AC33E9"/>
    <w:rsid w:val="00AF7845"/>
    <w:rsid w:val="00B07517"/>
    <w:rsid w:val="00B429D5"/>
    <w:rsid w:val="00B555ED"/>
    <w:rsid w:val="00B648F3"/>
    <w:rsid w:val="00B70A48"/>
    <w:rsid w:val="00B712C2"/>
    <w:rsid w:val="00B727B9"/>
    <w:rsid w:val="00B84F26"/>
    <w:rsid w:val="00BA4557"/>
    <w:rsid w:val="00BB1243"/>
    <w:rsid w:val="00BB3387"/>
    <w:rsid w:val="00BE7BB8"/>
    <w:rsid w:val="00C151DD"/>
    <w:rsid w:val="00C4381A"/>
    <w:rsid w:val="00C55545"/>
    <w:rsid w:val="00C569F0"/>
    <w:rsid w:val="00C869BA"/>
    <w:rsid w:val="00C86D9B"/>
    <w:rsid w:val="00CA76C8"/>
    <w:rsid w:val="00CB5BB2"/>
    <w:rsid w:val="00CB7FDC"/>
    <w:rsid w:val="00CE1F81"/>
    <w:rsid w:val="00CE64F6"/>
    <w:rsid w:val="00D6599C"/>
    <w:rsid w:val="00D85DDD"/>
    <w:rsid w:val="00D87BB5"/>
    <w:rsid w:val="00D90C03"/>
    <w:rsid w:val="00D90C5B"/>
    <w:rsid w:val="00DA5D6A"/>
    <w:rsid w:val="00DD629D"/>
    <w:rsid w:val="00DF7473"/>
    <w:rsid w:val="00E1230F"/>
    <w:rsid w:val="00E23577"/>
    <w:rsid w:val="00E44BA8"/>
    <w:rsid w:val="00E9120B"/>
    <w:rsid w:val="00E94A17"/>
    <w:rsid w:val="00EB0C1F"/>
    <w:rsid w:val="00EE0757"/>
    <w:rsid w:val="00F0479B"/>
    <w:rsid w:val="00F1567A"/>
    <w:rsid w:val="00F248F6"/>
    <w:rsid w:val="00F434A4"/>
    <w:rsid w:val="00FC1438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E1"/>
    <w:pPr>
      <w:ind w:left="0" w:firstLine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5</cp:revision>
  <dcterms:created xsi:type="dcterms:W3CDTF">2015-05-26T12:39:00Z</dcterms:created>
  <dcterms:modified xsi:type="dcterms:W3CDTF">2015-05-27T13:25:00Z</dcterms:modified>
</cp:coreProperties>
</file>